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62 vom 24. November 2021</w:t>
      </w:r>
    </w:p>
    <w:p>
      <w:r>
        <w:t>VS Kantonsgericht, 2021-11-24, FR</w:t>
      </w:r>
    </w:p>
    <w:p>
      <w:r>
        <w:rPr>
          <w:b/>
        </w:rPr>
        <w:t xml:space="preserve">Quelle: </w:t>
      </w:r>
      <w:r>
        <w:t>https://mcp.opencaselaw.ch/entscheid/vs_gerichte_A1 21 62</w:t>
      </w:r>
    </w:p>
    <w:p>
      <w:r>
        <w:t>FR: VS_GERICHTE A1 21 62 du 24 novembre 2021</w:t>
      </w:r>
    </w:p>
    <w:p>
      <w:r>
        <w:t>IT: VS_GERICHTE A1 21 62 del 24 novembre 2021</w:t>
      </w:r>
    </w:p>
    <w:p>
      <w:pPr>
        <w:pStyle w:val="Heading2"/>
      </w:pPr>
      <w:r>
        <w:t>Regeste</w:t>
      </w:r>
    </w:p>
    <w:p>
      <w:r>
        <w:t>A1 21 62 ARRÊT DU 24 NOVEMBRE 2021 Tribunal cantonal du Valais Cour de droit public Composition : Christophe Joris, président ; Jean-Bernard Fournier et Thomas Brunner, juges ; en la cause X _________, recourant, représenté par Maître Frédéric Wuest contre CONSEIL D’ÉTAT DU CANTON DU VALAIS, 1950 Sion, autorité attaquée, dans l’affaire qui oppose le recourant à la COMMUNE DE A _________, autre autorité (droit des constructions ; ordre de remise en état des lieux) recours de droit administratif contre la décision du 24 février 2021</w:t>
      </w:r>
    </w:p>
    <w:p>
      <w:pPr>
        <w:pStyle w:val="Heading2"/>
      </w:pPr>
      <w:r>
        <w:t>Erwägungen</w:t>
      </w:r>
    </w:p>
    <w:p>
      <w:r>
        <w:rPr>
          <w:b/>
        </w:rPr>
        <w:t>E. 1</w:t>
      </w:r>
    </w:p>
    <w:p>
      <w:r>
        <w:t>Le recours est recevable (art. 72, 78 let. a, 79a al. 1 let. a, 80 al. 1 let. b-c, 46 et 48 de la loi du 6 octobre 1976 sur la procédure et la juridiction administratives [LPJA ; RS/VS 172.6]).</w:t>
      </w:r>
    </w:p>
    <w:p>
      <w:r>
        <w:rPr>
          <w:b/>
        </w:rPr>
        <w:t>E. 2</w:t>
      </w:r>
    </w:p>
    <w:p>
      <w:r>
        <w:t>A titre de moyens de preuve, le recourant a sollicité son interrogatoire, une inspection des lieux et l’édition du dossier du Conseil d’Etat.</w:t>
      </w:r>
    </w:p>
    <w:p>
      <w:r>
        <w:rPr>
          <w:b/>
        </w:rPr>
        <w:t>E. 2.1</w:t>
      </w:r>
    </w:p>
    <w:p>
      <w:r>
        <w:t>La procédure administrative est en principe écrite et le recourant n’a pas le droit inconditionnel à faire valoir son point de vue par oral (arrêt du Tribunal fédéral 8C_90/2020 du 17 novembre 2020 consid. 4.3.3). En outre, une autorité peut renoncer à procéder à une mesure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w:t>
      </w:r>
    </w:p>
    <w:p>
      <w:r>
        <w:rPr>
          <w:b/>
        </w:rPr>
        <w:t>E. 2.2</w:t>
      </w:r>
    </w:p>
    <w:p>
      <w:r>
        <w:t>En l’espèce, le recourant s’est exprimé à maintes reprises par écrit (les 21 octobre 2019, 13 novembre 2019, 30 décembre 2019, 16 avril 2020 [recours administratif], 16 septembre 2020, 2 novembre 2020 et 9 avril 2021 [recours de droit administratif]) et par oral (lors de la vision locale effectuée le 3 décembre 2019 en présence de l’inspecteur de la police des constructions). Son interrogatoire est donc superflu. Quant à la « vision locale », elle n’est pas essentielle pour le fond de la cause puisque le dossier</w:t>
      </w:r>
    </w:p>
    <w:p>
      <w:r>
        <w:t>- 9 - à disposition du Tribunal contient une carte tirée du système d’information géographique vsgis.ch (cf. p. 83 du dossier de la CCC) et de nombreuses photographies des lieux et, plus particulièrement, des constructions et installations litigieuses (cf. les 38 clichés pris par l’inspecteur de la police des constructions le 3 décembre 2019 et les 15 clichés transmis par D _________ SA à la CCC le 13 novembre 2019). Ces deux moyens de preuve sont donc rejetés. Le dossier du Conseil d’Etat, lui, a été produit le 26 mai 2021.</w:t>
      </w:r>
    </w:p>
    <w:p>
      <w:r>
        <w:rPr>
          <w:b/>
        </w:rPr>
        <w:t>E. 3</w:t>
      </w:r>
    </w:p>
    <w:p>
      <w:r>
        <w:t>Dans un premier grief, le recourant, après avoir cité les articles 17 LAT et 124 RCC, invoque une « absence d’intérêt public ou inopportunité du règlement ». Le présent recours de droit administratif relève du droit des constructions (remise en état des lieux), de sorte qu’il échappe au champ d’application de l’article 78 let. b LPJA. Partant, mal fondé, le grief est, sous cet angle, irrecevable. S’agissant de la critique - toute générale - tirée d’une soi-disant absence d’intérêt public au maintien de la zone protégée sur la parcelle n° 1219, la recevabilité de ce grief est fort douteuse au regard des exigences de motivation (cf. articles 80 al. 1 let. c et 48 LPJA) qui imposent au recourant, puisqu’il doit exister un lien entre la motivation du recours et la décision attaquée, de se positionner par rapport aux considérants de l'autorité précédente, en expliquant pour quelles raisons les motifs articulés sont, de son point de vue, contraires au droit (arrêt du Tribunal fédéral 1C_15/2020 du 30 janvier 2020 consid. 2 ; ACDP A1 20 152 du 12 avril 2021 consid. 1.2). De toute manière, le grief devrait être rejeté. En effet, il est établi que toutes les travaux litigieux ont été réalisés sur la partie de la parcelle sise en zone « de protection absolue » selon le but circonscrit à l’article 124 RCC. L’utilisation de l’adjectif « absolu » renforce clairement la volonté communale de laisser la zone en question vierge de toute construction, ce pour des intérêts prépondérants liés notamment à la séparation des espaces bâtis et non bâtis ainsi qu’à la préservation du paysage. Le fait que la parcelle n° 1219 fasse aussi partie du cadastre viticole ne change rien à ce constat. Au demeurant, l’existence de ces intérêts publics majeurs ressort clairement du préavis paysager négatif du SFCEP (cf. supra, consid. B) auquel se sont référés tant le Conseil d’Etat (p. 2 et 7) que la CCC (p. 5), ce à juste titre puisque si un tel préavis n’a pas, à l’instar de tout avis émanant d’un organe spécialisé, un caractère contraignant pour une autorité décisionnelle, il n’en constitue pas moins une appréciation émanant de spécialistes qui ne peut être remise en cause sans motifs sérieux et objectifs (ACDP A1 21 8 du 28 juillet 2021 consid. 9.1). Or, ces conditions ne sont pas réunies dans le cas particulier. Le recourant n’a d’ailleurs pas démontré le contraire. Pour le reste, la question de l’examen des intérêts publics à préserver sera analysée plus loin (cf. infra, consid. 5).</w:t>
      </w:r>
    </w:p>
    <w:p>
      <w:r>
        <w:t>- 10 -</w:t>
      </w:r>
    </w:p>
    <w:p>
      <w:r>
        <w:rPr>
          <w:b/>
        </w:rPr>
        <w:t>E. 4</w:t>
      </w:r>
    </w:p>
    <w:p>
      <w:r>
        <w:t>Dans un second grief, le recourant estime pouvoir bénéficier d’une autorisation dérogatoire au sens de l’article 24 LAT, « subsidiairement de l’article 24c al. 4 LAT ».</w:t>
      </w:r>
    </w:p>
    <w:p>
      <w:r>
        <w:rPr>
          <w:b/>
        </w:rPr>
        <w:t>E. 4.1</w:t>
      </w:r>
    </w:p>
    <w:p>
      <w:r>
        <w:t>L'article 24 LAT régit les exceptions prévues hors de la zone à bâtir. Selon cette disposition,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(arrêt du Tribunal fédéral 1C_292/2019 du 12 mai 2020 consid. 5.2).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141 II 245 consid. 7.6.2). Seuls des critères objectifs sont déterminants, à l'exclusion de préférences dictées par des raisons de commodité ou d'agrément (ATF 136 II 214 consid. 2.1).</w:t>
      </w:r>
    </w:p>
    <w:p>
      <w:r>
        <w:t>L'examen du caractère relativement imposé par sa destination de l'emplacement implique une pesée de l'ensemble des intérêts en présence, pesée qui se recoupe avec celle imposée par l'art. 24 let. b LAT (ATF 141 II 245 consid. 7.6.2). L'application du critère de l'art. 24 let. a LAT doit toutefois être stricte, dès lors qu'elle contribue à l'objectif de séparation du bâti et du non-bâti (ATF 124 II 252 consid. 4a). Le principe de séparation entre zone à bâtir et zone inconstructible, de rang constitutionnel, est en effet une préoccupation centrale de l'aménagement du territoire (ATF 115 Ib 148 consid. 5c p. 151; arrêt 1C_131/2019 du 17 juin 2019 consid. 3.2.1 et les arrêts cités). Son respect revêt donc une importance toute particulière et il y a lieu d'être extrêmement restrictif dans l'admission de dérogations à la règle légale (arrêt du Tribunal fédéral 1C_292/2019 précité consid. 5.2).</w:t>
      </w:r>
    </w:p>
    <w:p>
      <w:r>
        <w:rPr>
          <w:b/>
        </w:rPr>
        <w:t>E. 4.2</w:t>
      </w:r>
    </w:p>
    <w:p>
      <w:r>
        <w:t>En l’occurrence, le recourant ne conteste pas avoir construit, sur la portion sise en zone à protéger de sa parcelle, une clôture, un radier en béton, un mur de soutènement en arc</w:t>
      </w:r>
    </w:p>
    <w:p>
      <w:r>
        <w:t>- 11 - de cercle (réalisé en éléments préfabriqués), un second muret en pierres naturelles. Il a également aménagé des aplanies, mis en place une palissade, bétonné le talus entre sa maison d’habitation et la première aplanie, réalisé un dallage en pavés de béton préfabriqués et aménagé des cadres en bois pour la plantation de potagers. Ces ouvrages, soumis à autorisation de construire selon les articles 34 LC et 16 à 18 OC et qui sont modifient sensiblement l’aspect du site et les profils du terrain, n’ont strictement aucun lien avec la « zone de protection absolue » décrite à l’article 124 RCC et sa vocation de protection et de préservation du paysage qui exclut toute construction. La consultation des photographies figurant au dossier est suffisamment éloquente pour démontrer l’absence d’identité paysagère entre l’ancien et le nouvel état de la portion située en zone à protéger. Au contraire, comme l’ont concédé tant D _________ SA (cf. sa lettre du 13 novembre 2019 [« Les travaux exécutés ont rendu la parcelle plus agréable à regarder et à habiter »]) que le recourant lui-même (p. 7 in initio de son recours de droit administratif [« X _________ a aménagé sa parcelle en vue de l’améliorer esthétiquement »]), les ouvrages litigieux ont été érigés pour de purs motifs de convenance personnelle, ne sont aucunement nécessaires à un usage d’habitation et ne visent pas une meilleure intégration dans le paysage. Dès lors, force est d’admettre qu’ils ne sont pas conformes à l’affectation de la zone à protéger, de sorte qu’une dérogation au sens de l’article 24 LAT n’est pas envisageable. Il semble ici utile de rappeler au recourant que la clause de besoin, selon laquelle, hors zone, toute construction doit être adaptée, par ses dimensions et son implantation, aux besoins objectifs du propriétaire ou de l’exploitant (ATF 132 II 10 consid. 2.4), vaut aussi pour les constructions et installations sises dans les zones à protéger au sens de 17 LAT (Aemisegger/Moor/Ruch/Tschannen, Commentaire pratique LAT : Planifier l’affectation, Genève/Zurich/Bâle 2016, n. 11 ad art. 17 LAT) et que les mesures de protection portant sur les objets mentionnés à l’article 17 al. 1 LAT poursuivent un intérêt public important (Aemisegger/Moor/Ruch/Tschannen, op. cit., n. 4 ad art. 17 LAT). En effet, au regard de cette disposition, certains paysages jouissent d’une protection particulière, qui consiste soit dans la conservation de l’état existant, soit dans un rétablissement de l’état ancien (Zufferey/Romy, la construction et son environnement en droit public, 2ème éd. 2017, p. 129). De plus - il est important d’insister sur ce point - l'application du critère de l'art. 24 let. a LAT doit être très rigoureuse et, comme la loi valaisanne (article 23 al. 1er LcAT) a le même contenu que l’article 17 al. 1er LAT, il faut en déduire que les communes disposent d’une grande marge de manœuvre quant à la manière de protéger leur patrimoine (Aurélien Wiedler, la protection du patrimoine bâti, thèse Berne 2019, p. 463).</w:t>
      </w:r>
    </w:p>
    <w:p>
      <w:r>
        <w:t>- 12 - Le recourant ne peut pas plus obtenir une dérogation fondée sur l’article 24c LAT puisque cette disposition n’est pas applicable aux constructions illicites (arrêt du Tribunal fédéral 1C_486/2015 du 24 mai 2016 consid. 2.1.1), comme dans le cas particulier. Partant, mal fondé, le grief est rejeté.</w:t>
      </w:r>
    </w:p>
    <w:p>
      <w:r>
        <w:rPr>
          <w:b/>
        </w:rPr>
        <w:t>E. 5</w:t>
      </w:r>
    </w:p>
    <w:p>
      <w:r>
        <w:t>Dans un troisième grief, le recourant invoqué une violation des principes de la proportionnalité et de la bonne foi. 5.1.1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du Tribunal fédéral 1C_60/2021 du 27 juillet 2021 consid. 3.1). S'ajoute à cela que la remise en état poursuit encore d'autres intérêts publics, à savoir par exemple la limitation du nombre et des dimensions des constructions en zone agricole (ATF 132 II 21 consid. 6.4) ainsi que le respect du principe de l'égalité devant la loi (arrêt 1C_76/2019 du 28 février 2020 consid. 7.1).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précité consid. 6). Celui qui place l'autorité devant un fait accompli doit s'attendre à ce que celle-ci se préoccupe plus de rétablir une situation conforme au droit que d'éviter les inconvénients qui en découlent pour lui (ATF 123 II 248 consid. 4a). 5.1.2.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w:t>
      </w:r>
    </w:p>
    <w:p>
      <w:r>
        <w:t>- 13 -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 arrêt 1C_60/2021 consid. 3.3).</w:t>
      </w:r>
    </w:p>
    <w:p>
      <w:r>
        <w:rPr>
          <w:b/>
        </w:rPr>
        <w:t>E. 5.2</w:t>
      </w:r>
    </w:p>
    <w:p>
      <w:r>
        <w:t>En l’occurrence, il faut d’emblée relever que le recourant, qui a recouru aux services de professionnels pour réaliser les travaux discutés dans la présente affaire, soit d’un architecte pour le dessin des aménagements et d’une entreprise de paysagisme pour l’exécution des travaux, ne peut pas se prévaloir de sa bonne foi tant il aurait pu et dû déceler la nécessité de déposer une demande d’autorisation de construire (dans ce sens, voir arrêt du Tribunal fédéral 1C_276/2016 du 2 juin 2017 consid. 3.3). D _________ SA en était parfaitement consciente puisque dans son courrier du 30 décembre 2019 elle a reconnu que « Il est évident que certaines de ces constructions demanderont un permis de construire ». Il semble d’ailleurs tout aussi évident que des aménagements extérieurs occasionnant un coût de près de 100'000 fr. ne sont pas insignifiants et que, partant, ils ne peuvent qu’être soumis à autorisation de construire. Ensuite - il est nécessaire d’insister sur ce point -, les dérogations à la règle n’étaient pas mineures puisqu’elles avaient notamment pour objet la construction, en zone protégée, d’une clôture et d’un radier en béton de 40 m2, d’un mur de soutènement en arc de cercle (réalisé en éléments préfabriqués) de 160 cm de haut sur une longueur de 15 à 20 mètres, la réalisation d’un second muret en pierres naturelles, l’aménagement d’aplanies, la mise en place d’une palissade de 200 cm de haut sur 5 à 6 mètres de large, le bétonnage du talus entre la maison d’habitation et la première aplanie, la réalisation d’un dallage en pavés de béton préfabriqués et l’aménagement de cadres en bois pour la plantation de potagers. Vu leur ampleur et leur réalisation en zone protégée, une régularisation de ces travaux (art. 57</w:t>
      </w:r>
    </w:p>
    <w:p>
      <w:r>
        <w:t>- 14 - al. 1 1ère phrase LC), réalisés sans autorisation en violation crasse de la LC, du RCC et de la LAT, est exclue. De plus, l’intérêt public lésé est particulièrement important, en tant qu’il porte sur la préservation des zones non constructibles, et en particulier la zone de protection du paysage, intérêt public qui doit être privilégié à l'intérêt privé du recourant au maintien de la situation actuelle, alors que ce dernier a placé les autorités devant le fait accompli, en dérogeant de manière majeure aux règles applicables s'agissant de la réalisation de constructions et d’aménagements extérieurs de fort grande envergure en zone protégée. L'ordre de remise en état constitue ainsi une mesure adéquate, apte à atteindre le but visé et ne portant à la propriété du recourant qu'une atteinte limitée compte tenu de l'intérêt public visé. Il est ainsi conforme au principe de la proportionnalité. S’agissant enfin des inconvénients financiers invoqués par le recourant (coût des travaux + de démolition), d’une part ils ne revêtent, dans un ordre de remise en état des lieux, aucun poids particulier (ACDP A1 17 58 du 11 juillet 2019 consid. 6.3.2 ; ACDP A1 20 39 du 12 juillet 2021 consid. 3.1 [affirmant qu’une remise en état, hors zone, de 284'000 fr. pouvait être exigée]) ; d’autre part, il ne faut pas oublier qu’ici, les différents frais afférents aux travaux de grande envergure litigieux ont été engagés alors que le recourant ne pouvait pas ignorer la nécessité d'obtenir une autorisation de construire pour ceux-ci. Ils ne peuvent donc que céder le pas à l’intérêt public décrit plus haut. Il s'ensuit que l'ordre de remise en état, parfaitement conforme au droit, doit être confirmé. Par conséquent, mal fondé, le grief est rejeté.</w:t>
      </w:r>
    </w:p>
    <w:p>
      <w:r>
        <w:rPr>
          <w:b/>
        </w:rPr>
        <w:t>E. 6</w:t>
      </w:r>
    </w:p>
    <w:p>
      <w:r>
        <w:t>Dans un quatrième et dernier grief, le recourant invoque une « régularisation des travaux pour des raisons sanitaires et de sécurité (art. 16 OC) ». Contrairement à ce que soutient le recourant et comme le montrent, au contraire, très bien les photographies prises « avant » et « après les travaux » (cf. lettre de D _________ SA du 13 novembre 2019), les constructions et aménagements litigieux modifient complètement l’aspect extérieur global du paysage situé en zone protégée. Comme relevé plus haut (cf. supra, consid. 4.2), ils ont été effectués par pure convenance personnelle, sans égard pour la préservation de la nature. Cette constatation scelle le sort du grief, qui est rejeté.</w:t>
      </w:r>
    </w:p>
    <w:p>
      <w:r>
        <w:rPr>
          <w:b/>
        </w:rPr>
        <w:t>E. 7</w:t>
      </w:r>
    </w:p>
    <w:p>
      <w:r>
        <w:t>Au vu de ce qui précède, le recours est rejeté (art. 80 al. 1 let. a et 60 al. 1 LPJA).</w:t>
      </w:r>
    </w:p>
    <w:p>
      <w:r>
        <w:t>- 15 -</w:t>
      </w:r>
    </w:p>
    <w:p>
      <w:r>
        <w:rPr>
          <w:b/>
        </w:rPr>
        <w:t>E. 8</w:t>
      </w:r>
    </w:p>
    <w:p>
      <w:r>
        <w:t>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